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DE82" w14:textId="52989AD4" w:rsidR="00EC30C9" w:rsidRDefault="000E48C1">
      <w:r>
        <w:rPr>
          <w:noProof/>
        </w:rPr>
        <w:drawing>
          <wp:anchor distT="0" distB="0" distL="114300" distR="114300" simplePos="0" relativeHeight="251660288" behindDoc="0" locked="0" layoutInCell="1" allowOverlap="1" wp14:anchorId="2E430056" wp14:editId="04DEBABA">
            <wp:simplePos x="0" y="0"/>
            <wp:positionH relativeFrom="column">
              <wp:posOffset>-495300</wp:posOffset>
            </wp:positionH>
            <wp:positionV relativeFrom="paragraph">
              <wp:posOffset>0</wp:posOffset>
            </wp:positionV>
            <wp:extent cx="1225550" cy="1558290"/>
            <wp:effectExtent l="0" t="0" r="0" b="381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723C55">
        <w:rPr>
          <w:rFonts w:ascii="Arial" w:hAnsi="Arial" w:cs="Arial"/>
          <w:b/>
          <w:bCs/>
          <w:noProof/>
          <w:sz w:val="32"/>
          <w:szCs w:val="32"/>
        </w:rPr>
        <mc:AlternateContent>
          <mc:Choice Requires="wps">
            <w:drawing>
              <wp:anchor distT="0" distB="0" distL="114300" distR="114300" simplePos="0" relativeHeight="251659264" behindDoc="0" locked="0" layoutInCell="1" allowOverlap="1" wp14:anchorId="734A2472" wp14:editId="1309A4DA">
                <wp:simplePos x="0" y="0"/>
                <wp:positionH relativeFrom="column">
                  <wp:posOffset>4356100</wp:posOffset>
                </wp:positionH>
                <wp:positionV relativeFrom="paragraph">
                  <wp:posOffset>635</wp:posOffset>
                </wp:positionV>
                <wp:extent cx="1987550" cy="1111250"/>
                <wp:effectExtent l="0" t="0" r="12700" b="12700"/>
                <wp:wrapNone/>
                <wp:docPr id="1326713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111250"/>
                        </a:xfrm>
                        <a:prstGeom prst="rect">
                          <a:avLst/>
                        </a:prstGeom>
                        <a:solidFill>
                          <a:schemeClr val="lt1"/>
                        </a:solidFill>
                        <a:ln w="6350">
                          <a:solidFill>
                            <a:schemeClr val="tx1"/>
                          </a:solidFill>
                        </a:ln>
                      </wps:spPr>
                      <wps:txbx>
                        <w:txbxContent>
                          <w:p w14:paraId="56B6EDBB" w14:textId="77777777" w:rsidR="00723C55" w:rsidRDefault="00723C55" w:rsidP="00723C55">
                            <w:pPr>
                              <w:spacing w:after="0" w:line="240" w:lineRule="auto"/>
                              <w:jc w:val="center"/>
                              <w:rPr>
                                <w:b/>
                                <w:bCs/>
                                <w:sz w:val="20"/>
                                <w:szCs w:val="20"/>
                              </w:rPr>
                            </w:pPr>
                            <w:r w:rsidRPr="00DA1570">
                              <w:rPr>
                                <w:b/>
                                <w:bCs/>
                                <w:sz w:val="20"/>
                                <w:szCs w:val="20"/>
                              </w:rPr>
                              <w:t xml:space="preserve">This policy keeps in line with </w:t>
                            </w:r>
                          </w:p>
                          <w:p w14:paraId="42CB0177" w14:textId="6B46DA07" w:rsidR="00723C55" w:rsidRDefault="00723C55" w:rsidP="00723C55">
                            <w:pPr>
                              <w:spacing w:after="0" w:line="240" w:lineRule="auto"/>
                              <w:jc w:val="center"/>
                              <w:rPr>
                                <w:b/>
                                <w:bCs/>
                                <w:sz w:val="20"/>
                                <w:szCs w:val="20"/>
                              </w:rPr>
                            </w:pPr>
                            <w:r w:rsidRPr="00E55726">
                              <w:rPr>
                                <w:b/>
                                <w:bCs/>
                                <w:sz w:val="20"/>
                                <w:szCs w:val="20"/>
                                <w:u w:val="single"/>
                              </w:rPr>
                              <w:t>UNCRC Article 3</w:t>
                            </w:r>
                            <w:r>
                              <w:rPr>
                                <w:b/>
                                <w:bCs/>
                                <w:sz w:val="20"/>
                                <w:szCs w:val="20"/>
                                <w:u w:val="single"/>
                              </w:rPr>
                              <w:t>1;</w:t>
                            </w:r>
                          </w:p>
                          <w:p w14:paraId="0104069B" w14:textId="77777777" w:rsidR="00723C55" w:rsidRDefault="00723C55" w:rsidP="00723C55">
                            <w:pPr>
                              <w:spacing w:after="0" w:line="240" w:lineRule="auto"/>
                              <w:jc w:val="center"/>
                              <w:rPr>
                                <w:b/>
                                <w:bCs/>
                                <w:sz w:val="20"/>
                                <w:szCs w:val="20"/>
                              </w:rPr>
                            </w:pPr>
                          </w:p>
                          <w:p w14:paraId="127E09A8" w14:textId="6C2E8436" w:rsidR="00723C55" w:rsidRDefault="00723C55" w:rsidP="00723C55">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2472" id="_x0000_t202" coordsize="21600,21600" o:spt="202" path="m,l,21600r21600,l21600,xe">
                <v:stroke joinstyle="miter"/>
                <v:path gradientshapeok="t" o:connecttype="rect"/>
              </v:shapetype>
              <v:shape id="Text Box 1" o:spid="_x0000_s1026" type="#_x0000_t202" style="position:absolute;margin-left:343pt;margin-top:.05pt;width:156.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" fillcolor="white [3201]" strokecolor="black [3213]" strokeweight=".5pt">
                <v:path arrowok="t"/>
                <v:textbox>
                  <w:txbxContent>
                    <w:p w14:paraId="56B6EDBB" w14:textId="77777777" w:rsidR="00723C55" w:rsidRDefault="00723C55" w:rsidP="00723C55">
                      <w:pPr>
                        <w:spacing w:after="0" w:line="240" w:lineRule="auto"/>
                        <w:jc w:val="center"/>
                        <w:rPr>
                          <w:b/>
                          <w:bCs/>
                          <w:sz w:val="20"/>
                          <w:szCs w:val="20"/>
                        </w:rPr>
                      </w:pPr>
                      <w:r w:rsidRPr="00DA1570">
                        <w:rPr>
                          <w:b/>
                          <w:bCs/>
                          <w:sz w:val="20"/>
                          <w:szCs w:val="20"/>
                        </w:rPr>
                        <w:t xml:space="preserve">This policy keeps in line with </w:t>
                      </w:r>
                    </w:p>
                    <w:p w14:paraId="42CB0177" w14:textId="6B46DA07" w:rsidR="00723C55" w:rsidRDefault="00723C55" w:rsidP="00723C55">
                      <w:pPr>
                        <w:spacing w:after="0" w:line="240" w:lineRule="auto"/>
                        <w:jc w:val="center"/>
                        <w:rPr>
                          <w:b/>
                          <w:bCs/>
                          <w:sz w:val="20"/>
                          <w:szCs w:val="20"/>
                        </w:rPr>
                      </w:pPr>
                      <w:r w:rsidRPr="00E55726">
                        <w:rPr>
                          <w:b/>
                          <w:bCs/>
                          <w:sz w:val="20"/>
                          <w:szCs w:val="20"/>
                          <w:u w:val="single"/>
                        </w:rPr>
                        <w:t>UNCRC Article 3</w:t>
                      </w:r>
                      <w:r>
                        <w:rPr>
                          <w:b/>
                          <w:bCs/>
                          <w:sz w:val="20"/>
                          <w:szCs w:val="20"/>
                          <w:u w:val="single"/>
                        </w:rPr>
                        <w:t>1;</w:t>
                      </w:r>
                    </w:p>
                    <w:p w14:paraId="0104069B" w14:textId="77777777" w:rsidR="00723C55" w:rsidRDefault="00723C55" w:rsidP="00723C55">
                      <w:pPr>
                        <w:spacing w:after="0" w:line="240" w:lineRule="auto"/>
                        <w:jc w:val="center"/>
                        <w:rPr>
                          <w:b/>
                          <w:bCs/>
                          <w:sz w:val="20"/>
                          <w:szCs w:val="20"/>
                        </w:rPr>
                      </w:pPr>
                    </w:p>
                    <w:p w14:paraId="127E09A8" w14:textId="6C2E8436" w:rsidR="00723C55" w:rsidRDefault="00723C55" w:rsidP="00723C55">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v:textbox>
              </v:shape>
            </w:pict>
          </mc:Fallback>
        </mc:AlternateContent>
      </w:r>
    </w:p>
    <w:p w14:paraId="6994C86A" w14:textId="3B04E3F6" w:rsidR="004B2D2D" w:rsidRDefault="004B2D2D"/>
    <w:p w14:paraId="6F2C3550" w14:textId="5FFD40A5" w:rsidR="00723C55" w:rsidRDefault="00723C55" w:rsidP="004B2D2D">
      <w:pPr>
        <w:jc w:val="center"/>
        <w:rPr>
          <w:rFonts w:ascii="Arial" w:hAnsi="Arial" w:cs="Arial"/>
          <w:b/>
          <w:bCs/>
          <w:sz w:val="32"/>
          <w:szCs w:val="32"/>
        </w:rPr>
      </w:pPr>
    </w:p>
    <w:p w14:paraId="1DE3673B" w14:textId="12C240F3" w:rsidR="00723C55" w:rsidRDefault="00723C55" w:rsidP="004B2D2D">
      <w:pPr>
        <w:jc w:val="center"/>
        <w:rPr>
          <w:rFonts w:ascii="Arial" w:hAnsi="Arial" w:cs="Arial"/>
          <w:b/>
          <w:bCs/>
          <w:sz w:val="32"/>
          <w:szCs w:val="32"/>
        </w:rPr>
      </w:pPr>
    </w:p>
    <w:p w14:paraId="4BCF5042" w14:textId="77777777" w:rsidR="00723C55" w:rsidRDefault="00723C55" w:rsidP="004B2D2D">
      <w:pPr>
        <w:jc w:val="center"/>
        <w:rPr>
          <w:rFonts w:ascii="Calibri" w:hAnsi="Calibri" w:cs="Calibri"/>
          <w:b/>
          <w:bCs/>
          <w:sz w:val="44"/>
          <w:szCs w:val="44"/>
          <w:u w:val="single"/>
        </w:rPr>
      </w:pPr>
    </w:p>
    <w:p w14:paraId="3343BE72" w14:textId="2BF0B152" w:rsidR="004B2D2D" w:rsidRPr="00723C55" w:rsidRDefault="00723C55" w:rsidP="004B2D2D">
      <w:pPr>
        <w:jc w:val="center"/>
        <w:rPr>
          <w:rFonts w:ascii="Calibri" w:hAnsi="Calibri" w:cs="Calibri"/>
          <w:b/>
          <w:bCs/>
          <w:sz w:val="44"/>
          <w:szCs w:val="44"/>
          <w:u w:val="single"/>
        </w:rPr>
      </w:pPr>
      <w:r>
        <w:rPr>
          <w:rFonts w:ascii="Calibri" w:hAnsi="Calibri" w:cs="Calibri"/>
          <w:b/>
          <w:bCs/>
          <w:sz w:val="44"/>
          <w:szCs w:val="44"/>
          <w:u w:val="single"/>
        </w:rPr>
        <w:t>C</w:t>
      </w:r>
      <w:r w:rsidR="004B2D2D" w:rsidRPr="00723C55">
        <w:rPr>
          <w:rFonts w:ascii="Calibri" w:hAnsi="Calibri" w:cs="Calibri"/>
          <w:b/>
          <w:bCs/>
          <w:sz w:val="44"/>
          <w:szCs w:val="44"/>
          <w:u w:val="single"/>
        </w:rPr>
        <w:t xml:space="preserve">are, Learning </w:t>
      </w:r>
      <w:r w:rsidR="0097362A" w:rsidRPr="00723C55">
        <w:rPr>
          <w:rFonts w:ascii="Calibri" w:hAnsi="Calibri" w:cs="Calibri"/>
          <w:b/>
          <w:bCs/>
          <w:sz w:val="44"/>
          <w:szCs w:val="44"/>
          <w:u w:val="single"/>
        </w:rPr>
        <w:t>&amp;</w:t>
      </w:r>
      <w:r w:rsidR="004B2D2D" w:rsidRPr="00723C55">
        <w:rPr>
          <w:rFonts w:ascii="Calibri" w:hAnsi="Calibri" w:cs="Calibri"/>
          <w:b/>
          <w:bCs/>
          <w:sz w:val="44"/>
          <w:szCs w:val="44"/>
          <w:u w:val="single"/>
        </w:rPr>
        <w:t xml:space="preserve"> Play </w:t>
      </w:r>
    </w:p>
    <w:p w14:paraId="500801E8" w14:textId="5E3E090E" w:rsidR="004B2D2D" w:rsidRDefault="004B2D2D" w:rsidP="004B2D2D">
      <w:pPr>
        <w:jc w:val="center"/>
        <w:rPr>
          <w:rFonts w:ascii="Arial" w:hAnsi="Arial" w:cs="Arial"/>
          <w:b/>
          <w:bCs/>
          <w:sz w:val="32"/>
          <w:szCs w:val="32"/>
        </w:rPr>
      </w:pPr>
    </w:p>
    <w:p w14:paraId="0CEE4DE2" w14:textId="40A08863" w:rsidR="004B2D2D" w:rsidRDefault="004B2D2D" w:rsidP="004B2D2D">
      <w:pPr>
        <w:rPr>
          <w:rFonts w:ascii="Arial" w:hAnsi="Arial" w:cs="Arial"/>
          <w:sz w:val="24"/>
          <w:szCs w:val="24"/>
        </w:rPr>
      </w:pPr>
      <w:r>
        <w:rPr>
          <w:rFonts w:ascii="Arial" w:hAnsi="Arial" w:cs="Arial"/>
          <w:sz w:val="24"/>
          <w:szCs w:val="24"/>
        </w:rPr>
        <w:t xml:space="preserve">The programme of activities and the atmosphere of our setting </w:t>
      </w:r>
      <w:r w:rsidR="00AD6B12">
        <w:rPr>
          <w:rFonts w:ascii="Arial" w:hAnsi="Arial" w:cs="Arial"/>
          <w:sz w:val="24"/>
          <w:szCs w:val="24"/>
        </w:rPr>
        <w:t xml:space="preserve">aims to encourage confidence, independence and enjoyment. Our work has, </w:t>
      </w:r>
      <w:r w:rsidR="00C05B63">
        <w:rPr>
          <w:rFonts w:ascii="Arial" w:hAnsi="Arial" w:cs="Arial"/>
          <w:sz w:val="24"/>
          <w:szCs w:val="24"/>
        </w:rPr>
        <w:t>its</w:t>
      </w:r>
      <w:r w:rsidR="00AD6B12">
        <w:rPr>
          <w:rFonts w:ascii="Arial" w:hAnsi="Arial" w:cs="Arial"/>
          <w:sz w:val="24"/>
          <w:szCs w:val="24"/>
        </w:rPr>
        <w:t xml:space="preserve"> core, the aim of enabling children to develop their emotional, social, cognitive, interpersonal and physical skills and their desire to explore, discover and be creative. </w:t>
      </w:r>
    </w:p>
    <w:p w14:paraId="03E290A2" w14:textId="0006AC38" w:rsidR="00AD6B12" w:rsidRDefault="00AD6B12" w:rsidP="004B2D2D">
      <w:pPr>
        <w:rPr>
          <w:rFonts w:ascii="Arial" w:hAnsi="Arial" w:cs="Arial"/>
          <w:sz w:val="24"/>
          <w:szCs w:val="24"/>
        </w:rPr>
      </w:pPr>
      <w:r>
        <w:rPr>
          <w:rFonts w:ascii="Arial" w:hAnsi="Arial" w:cs="Arial"/>
          <w:sz w:val="24"/>
          <w:szCs w:val="24"/>
        </w:rPr>
        <w:t xml:space="preserve">The setting will provide a well-planned and organised play environment that offers children rich and stimulating experiences, alongside opportunities to explore, experiment, plan and make decisions for themselves. The programme of activities will recognise and take into account the differing ages, interests, backgrounds and abilities of the children. </w:t>
      </w:r>
    </w:p>
    <w:p w14:paraId="53221058" w14:textId="70921D0C" w:rsidR="00AD6B12" w:rsidRDefault="00AD6B12" w:rsidP="004B2D2D">
      <w:pPr>
        <w:rPr>
          <w:rFonts w:ascii="Arial" w:hAnsi="Arial" w:cs="Arial"/>
          <w:sz w:val="24"/>
          <w:szCs w:val="24"/>
        </w:rPr>
      </w:pPr>
      <w:r>
        <w:rPr>
          <w:rFonts w:ascii="Arial" w:hAnsi="Arial" w:cs="Arial"/>
          <w:sz w:val="24"/>
          <w:szCs w:val="24"/>
        </w:rPr>
        <w:t xml:space="preserve">Activities are carefully planned to allow children to build on their natural curiosity, advance their thinking, use their imagination and develop positive social relationships. At all times, the setting will recognise a child’s individuality, effort and achievement. </w:t>
      </w:r>
    </w:p>
    <w:p w14:paraId="4830AD28" w14:textId="6D98F6E8" w:rsidR="00AD6B12" w:rsidRDefault="00AD6B12" w:rsidP="004B2D2D">
      <w:pPr>
        <w:rPr>
          <w:rFonts w:ascii="Arial" w:hAnsi="Arial" w:cs="Arial"/>
          <w:sz w:val="24"/>
          <w:szCs w:val="24"/>
        </w:rPr>
      </w:pPr>
      <w:r>
        <w:rPr>
          <w:rFonts w:ascii="Arial" w:hAnsi="Arial" w:cs="Arial"/>
          <w:sz w:val="24"/>
          <w:szCs w:val="24"/>
        </w:rPr>
        <w:t xml:space="preserve">Wherever appropriate, children will be involved in the process of planning activities so that the programme reflects their opinions and so that children feel some ownership over their setting. </w:t>
      </w:r>
    </w:p>
    <w:p w14:paraId="204517C5" w14:textId="5D64D368" w:rsidR="0097362A" w:rsidRDefault="0097362A" w:rsidP="004B2D2D">
      <w:pPr>
        <w:rPr>
          <w:rFonts w:ascii="Arial" w:hAnsi="Arial" w:cs="Arial"/>
          <w:sz w:val="24"/>
          <w:szCs w:val="24"/>
        </w:rPr>
      </w:pPr>
      <w:r>
        <w:rPr>
          <w:rFonts w:ascii="Arial" w:hAnsi="Arial" w:cs="Arial"/>
          <w:sz w:val="24"/>
          <w:szCs w:val="24"/>
        </w:rPr>
        <w:t>Staffing arrangements will provide opportunities for;</w:t>
      </w:r>
    </w:p>
    <w:p w14:paraId="000F2CA7" w14:textId="33A0E011"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Reflection on practice</w:t>
      </w:r>
    </w:p>
    <w:p w14:paraId="3DC0B78E" w14:textId="18887970"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Recognise that working with children is a complex, challenging and demanding task and that often there are no easy answers</w:t>
      </w:r>
    </w:p>
    <w:p w14:paraId="46A76D7E" w14:textId="424CC9CC"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That learning is a shared process and that children learn most effectively when, with the support of a knowledgeable and trusted adult, they are actively involved and interested</w:t>
      </w:r>
    </w:p>
    <w:p w14:paraId="324F4E8A" w14:textId="41A08967" w:rsidR="0097362A" w:rsidRDefault="0097362A" w:rsidP="0097362A">
      <w:pPr>
        <w:rPr>
          <w:rFonts w:ascii="Arial" w:hAnsi="Arial" w:cs="Arial"/>
          <w:sz w:val="24"/>
          <w:szCs w:val="24"/>
        </w:rPr>
      </w:pPr>
      <w:r>
        <w:rPr>
          <w:rFonts w:ascii="Arial" w:hAnsi="Arial" w:cs="Arial"/>
          <w:sz w:val="24"/>
          <w:szCs w:val="24"/>
        </w:rPr>
        <w:t xml:space="preserve">Staff will display flexible styles of leadership and respond appropriately to children according to their age, understanding and needs. </w:t>
      </w:r>
    </w:p>
    <w:p w14:paraId="46C41AC5" w14:textId="3D79F720" w:rsidR="0097362A" w:rsidRDefault="0097362A" w:rsidP="0097362A">
      <w:pPr>
        <w:rPr>
          <w:rFonts w:ascii="Arial" w:hAnsi="Arial" w:cs="Arial"/>
          <w:sz w:val="24"/>
          <w:szCs w:val="24"/>
        </w:rPr>
      </w:pPr>
      <w:r>
        <w:rPr>
          <w:rFonts w:ascii="Arial" w:hAnsi="Arial" w:cs="Arial"/>
          <w:sz w:val="24"/>
          <w:szCs w:val="24"/>
        </w:rPr>
        <w:t xml:space="preserve">Staff will support, recognise and promote achievements by all children. </w:t>
      </w:r>
    </w:p>
    <w:p w14:paraId="0B0A6962" w14:textId="7B6752C4" w:rsidR="0097362A" w:rsidRDefault="0097362A" w:rsidP="0097362A">
      <w:pPr>
        <w:rPr>
          <w:rFonts w:ascii="Arial" w:hAnsi="Arial" w:cs="Arial"/>
          <w:sz w:val="24"/>
          <w:szCs w:val="24"/>
        </w:rPr>
      </w:pPr>
      <w:r>
        <w:rPr>
          <w:rFonts w:ascii="Arial" w:hAnsi="Arial" w:cs="Arial"/>
          <w:sz w:val="24"/>
          <w:szCs w:val="24"/>
        </w:rPr>
        <w:t xml:space="preserve">The setting will provide children with a range of equipment and resources appropriate to their age and interests, according to the provisions of equipment policy. </w:t>
      </w:r>
    </w:p>
    <w:p w14:paraId="45DF2D3A" w14:textId="31011B38" w:rsidR="0097362A" w:rsidRDefault="0097362A" w:rsidP="0097362A">
      <w:pPr>
        <w:rPr>
          <w:rFonts w:ascii="Arial" w:hAnsi="Arial" w:cs="Arial"/>
          <w:sz w:val="24"/>
          <w:szCs w:val="24"/>
        </w:rPr>
      </w:pPr>
      <w:r>
        <w:rPr>
          <w:rFonts w:ascii="Arial" w:hAnsi="Arial" w:cs="Arial"/>
          <w:sz w:val="24"/>
          <w:szCs w:val="24"/>
        </w:rPr>
        <w:lastRenderedPageBreak/>
        <w:t xml:space="preserve">Children will be offered access to outdoor play every day, subject to weather conditions and risk assessments. </w:t>
      </w:r>
    </w:p>
    <w:p w14:paraId="127E01DF" w14:textId="26E25270" w:rsidR="0097362A" w:rsidRDefault="0097362A" w:rsidP="0097362A">
      <w:pPr>
        <w:rPr>
          <w:rFonts w:ascii="Arial" w:hAnsi="Arial" w:cs="Arial"/>
          <w:sz w:val="24"/>
          <w:szCs w:val="24"/>
        </w:rPr>
      </w:pPr>
      <w:r>
        <w:rPr>
          <w:rFonts w:ascii="Arial" w:hAnsi="Arial" w:cs="Arial"/>
          <w:sz w:val="24"/>
          <w:szCs w:val="24"/>
        </w:rPr>
        <w:t xml:space="preserve">No child will ever be left unsupervised during activities in the setting. </w:t>
      </w:r>
    </w:p>
    <w:p w14:paraId="538152E6" w14:textId="3E1C4F16" w:rsidR="0097362A" w:rsidRDefault="0097362A" w:rsidP="0097362A">
      <w:pPr>
        <w:rPr>
          <w:rFonts w:ascii="Arial" w:hAnsi="Arial" w:cs="Arial"/>
          <w:sz w:val="24"/>
          <w:szCs w:val="24"/>
        </w:rPr>
      </w:pPr>
      <w:r>
        <w:rPr>
          <w:rFonts w:ascii="Arial" w:hAnsi="Arial" w:cs="Arial"/>
          <w:sz w:val="24"/>
          <w:szCs w:val="24"/>
        </w:rPr>
        <w:t xml:space="preserve">The Manager will ensure that time is managed properly, so as to allow for activity sessions to be evaluated. </w:t>
      </w:r>
    </w:p>
    <w:p w14:paraId="178AF38A" w14:textId="77777777" w:rsidR="00091320" w:rsidRDefault="00091320" w:rsidP="0097362A">
      <w:pPr>
        <w:rPr>
          <w:rFonts w:ascii="Arial" w:hAnsi="Arial" w:cs="Arial"/>
          <w:sz w:val="24"/>
          <w:szCs w:val="24"/>
        </w:rPr>
      </w:pPr>
    </w:p>
    <w:p w14:paraId="793A0250" w14:textId="20B0B978" w:rsidR="004A6234" w:rsidRDefault="004A6234" w:rsidP="0097362A">
      <w:pPr>
        <w:rPr>
          <w:rFonts w:ascii="Arial" w:hAnsi="Arial" w:cs="Arial"/>
          <w:sz w:val="24"/>
          <w:szCs w:val="24"/>
        </w:rPr>
      </w:pPr>
      <w:r>
        <w:rPr>
          <w:rFonts w:ascii="Arial" w:hAnsi="Arial" w:cs="Arial"/>
          <w:sz w:val="24"/>
          <w:szCs w:val="24"/>
        </w:rPr>
        <w:t>National Guidance that helps the setting implement quality care, learning and play opportunities include;</w:t>
      </w:r>
    </w:p>
    <w:p w14:paraId="5109BB32" w14:textId="11CBC376" w:rsidR="004A6234" w:rsidRDefault="004A6234" w:rsidP="0097362A">
      <w:pPr>
        <w:rPr>
          <w:rFonts w:ascii="Arial" w:hAnsi="Arial" w:cs="Arial"/>
          <w:sz w:val="24"/>
          <w:szCs w:val="24"/>
        </w:rPr>
      </w:pPr>
      <w:r>
        <w:rPr>
          <w:rFonts w:ascii="Arial" w:hAnsi="Arial" w:cs="Arial"/>
          <w:sz w:val="24"/>
          <w:szCs w:val="24"/>
        </w:rPr>
        <w:t xml:space="preserve">Realising the Ambition </w:t>
      </w:r>
      <w:hyperlink r:id="rId8" w:history="1">
        <w:r w:rsidRPr="00DD7026">
          <w:rPr>
            <w:rStyle w:val="Hyperlink"/>
            <w:rFonts w:ascii="Arial" w:hAnsi="Arial" w:cs="Arial"/>
            <w:sz w:val="24"/>
            <w:szCs w:val="24"/>
          </w:rPr>
          <w:t>https://education.gov.scot/media/3bjpr3wa/realisingtheambition.pdf</w:t>
        </w:r>
      </w:hyperlink>
      <w:r>
        <w:rPr>
          <w:rFonts w:ascii="Arial" w:hAnsi="Arial" w:cs="Arial"/>
          <w:sz w:val="24"/>
          <w:szCs w:val="24"/>
        </w:rPr>
        <w:t xml:space="preserve"> </w:t>
      </w:r>
    </w:p>
    <w:p w14:paraId="7CF3AE80" w14:textId="77777777" w:rsidR="004A6234" w:rsidRDefault="004A6234" w:rsidP="0097362A">
      <w:pPr>
        <w:rPr>
          <w:rFonts w:ascii="Arial" w:hAnsi="Arial" w:cs="Arial"/>
          <w:sz w:val="24"/>
          <w:szCs w:val="24"/>
        </w:rPr>
      </w:pPr>
    </w:p>
    <w:p w14:paraId="12C0B058" w14:textId="1A3FEC48" w:rsidR="004A6234" w:rsidRDefault="004A6234" w:rsidP="0097362A">
      <w:pPr>
        <w:rPr>
          <w:rFonts w:ascii="Arial" w:hAnsi="Arial" w:cs="Arial"/>
          <w:sz w:val="24"/>
          <w:szCs w:val="24"/>
        </w:rPr>
      </w:pPr>
      <w:r>
        <w:rPr>
          <w:rFonts w:ascii="Arial" w:hAnsi="Arial" w:cs="Arial"/>
          <w:sz w:val="24"/>
          <w:szCs w:val="24"/>
        </w:rPr>
        <w:t>My Active World</w:t>
      </w:r>
    </w:p>
    <w:p w14:paraId="543424A8" w14:textId="1033BCBB" w:rsidR="004A6234" w:rsidRDefault="004A6234" w:rsidP="0097362A">
      <w:pPr>
        <w:rPr>
          <w:rFonts w:ascii="Arial" w:hAnsi="Arial" w:cs="Arial"/>
          <w:sz w:val="24"/>
          <w:szCs w:val="24"/>
        </w:rPr>
      </w:pPr>
      <w:hyperlink r:id="rId9" w:history="1">
        <w:r w:rsidRPr="00DD7026">
          <w:rPr>
            <w:rStyle w:val="Hyperlink"/>
            <w:rFonts w:ascii="Arial" w:hAnsi="Arial" w:cs="Arial"/>
            <w:sz w:val="24"/>
            <w:szCs w:val="24"/>
          </w:rPr>
          <w:t>https://hub.careinspectorate.com/media/5092/my-active-world.pdf</w:t>
        </w:r>
      </w:hyperlink>
      <w:r>
        <w:rPr>
          <w:rFonts w:ascii="Arial" w:hAnsi="Arial" w:cs="Arial"/>
          <w:sz w:val="24"/>
          <w:szCs w:val="24"/>
        </w:rPr>
        <w:t xml:space="preserve"> </w:t>
      </w:r>
    </w:p>
    <w:p w14:paraId="60BE2624" w14:textId="77777777" w:rsidR="004A6234" w:rsidRDefault="004A6234" w:rsidP="0097362A">
      <w:pPr>
        <w:rPr>
          <w:rFonts w:ascii="Arial" w:hAnsi="Arial" w:cs="Arial"/>
          <w:sz w:val="24"/>
          <w:szCs w:val="24"/>
        </w:rPr>
      </w:pPr>
    </w:p>
    <w:p w14:paraId="58165CC4" w14:textId="1E7317DE" w:rsidR="004A6234" w:rsidRDefault="004A6234" w:rsidP="0097362A">
      <w:pPr>
        <w:rPr>
          <w:rFonts w:ascii="Arial" w:hAnsi="Arial" w:cs="Arial"/>
          <w:sz w:val="24"/>
          <w:szCs w:val="24"/>
        </w:rPr>
      </w:pPr>
      <w:r>
        <w:rPr>
          <w:rFonts w:ascii="Arial" w:hAnsi="Arial" w:cs="Arial"/>
          <w:sz w:val="24"/>
          <w:szCs w:val="24"/>
        </w:rPr>
        <w:t>Out to Play</w:t>
      </w:r>
    </w:p>
    <w:p w14:paraId="5BF1AA7D" w14:textId="04117DA8" w:rsidR="004A6234" w:rsidRDefault="004A6234" w:rsidP="0097362A">
      <w:pPr>
        <w:rPr>
          <w:rFonts w:ascii="Arial" w:hAnsi="Arial" w:cs="Arial"/>
          <w:sz w:val="24"/>
          <w:szCs w:val="24"/>
        </w:rPr>
      </w:pPr>
      <w:hyperlink r:id="rId10" w:history="1">
        <w:r w:rsidRPr="00DD7026">
          <w:rPr>
            <w:rStyle w:val="Hyperlink"/>
            <w:rFonts w:ascii="Arial" w:hAnsi="Arial" w:cs="Arial"/>
            <w:sz w:val="24"/>
            <w:szCs w:val="24"/>
          </w:rPr>
          <w:t>https://www.playscotland.org/wp-content/uploads/Out-to-Play_practical-guidance-for-creating-outdoor-play-experiences-in-early-learning-and-childcare.pdf</w:t>
        </w:r>
      </w:hyperlink>
    </w:p>
    <w:p w14:paraId="024FAB6B" w14:textId="77777777" w:rsidR="004A6234" w:rsidRDefault="004A6234" w:rsidP="0097362A">
      <w:pPr>
        <w:rPr>
          <w:rFonts w:ascii="Arial" w:hAnsi="Arial" w:cs="Arial"/>
          <w:sz w:val="24"/>
          <w:szCs w:val="24"/>
        </w:rPr>
      </w:pPr>
    </w:p>
    <w:p w14:paraId="427538F9" w14:textId="7CFFD8E6" w:rsidR="004A6234" w:rsidRDefault="004A6234" w:rsidP="0097362A">
      <w:pPr>
        <w:rPr>
          <w:rFonts w:ascii="Arial" w:hAnsi="Arial" w:cs="Arial"/>
          <w:sz w:val="24"/>
          <w:szCs w:val="24"/>
        </w:rPr>
      </w:pPr>
      <w:r>
        <w:rPr>
          <w:rFonts w:ascii="Arial" w:hAnsi="Arial" w:cs="Arial"/>
          <w:sz w:val="24"/>
          <w:szCs w:val="24"/>
        </w:rPr>
        <w:t>Play Scotland</w:t>
      </w:r>
    </w:p>
    <w:p w14:paraId="33629A24" w14:textId="4ED03BCA" w:rsidR="004A6234" w:rsidRDefault="004A6234" w:rsidP="0097362A">
      <w:pPr>
        <w:rPr>
          <w:rFonts w:ascii="Arial" w:hAnsi="Arial" w:cs="Arial"/>
          <w:sz w:val="24"/>
          <w:szCs w:val="24"/>
        </w:rPr>
      </w:pPr>
      <w:hyperlink r:id="rId11" w:history="1">
        <w:r w:rsidRPr="00DD7026">
          <w:rPr>
            <w:rStyle w:val="Hyperlink"/>
            <w:rFonts w:ascii="Arial" w:hAnsi="Arial" w:cs="Arial"/>
            <w:sz w:val="24"/>
            <w:szCs w:val="24"/>
          </w:rPr>
          <w:t>https://www.playscotland.org/</w:t>
        </w:r>
      </w:hyperlink>
    </w:p>
    <w:p w14:paraId="685682C3" w14:textId="77777777" w:rsidR="004A6234" w:rsidRPr="0097362A" w:rsidRDefault="004A6234" w:rsidP="0097362A">
      <w:pPr>
        <w:rPr>
          <w:rFonts w:ascii="Arial" w:hAnsi="Arial" w:cs="Arial"/>
          <w:sz w:val="24"/>
          <w:szCs w:val="24"/>
        </w:rPr>
      </w:pPr>
    </w:p>
    <w:sectPr w:rsidR="004A6234" w:rsidRPr="0097362A" w:rsidSect="0083145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8858" w14:textId="77777777" w:rsidR="003E0C89" w:rsidRDefault="003E0C89" w:rsidP="0097362A">
      <w:pPr>
        <w:spacing w:after="0" w:line="240" w:lineRule="auto"/>
      </w:pPr>
      <w:r>
        <w:separator/>
      </w:r>
    </w:p>
  </w:endnote>
  <w:endnote w:type="continuationSeparator" w:id="0">
    <w:p w14:paraId="6A117A2B" w14:textId="77777777" w:rsidR="003E0C89" w:rsidRDefault="003E0C89" w:rsidP="0097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ECD0" w14:textId="77777777" w:rsidR="003E0C89" w:rsidRDefault="003E0C89" w:rsidP="0097362A">
      <w:pPr>
        <w:spacing w:after="0" w:line="240" w:lineRule="auto"/>
      </w:pPr>
      <w:r>
        <w:separator/>
      </w:r>
    </w:p>
  </w:footnote>
  <w:footnote w:type="continuationSeparator" w:id="0">
    <w:p w14:paraId="06AD93F3" w14:textId="77777777" w:rsidR="003E0C89" w:rsidRDefault="003E0C89" w:rsidP="00973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E1"/>
    <w:multiLevelType w:val="hybridMultilevel"/>
    <w:tmpl w:val="950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4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2D"/>
    <w:rsid w:val="00091320"/>
    <w:rsid w:val="000B7112"/>
    <w:rsid w:val="000E48C1"/>
    <w:rsid w:val="003455CC"/>
    <w:rsid w:val="003E0C89"/>
    <w:rsid w:val="004A6234"/>
    <w:rsid w:val="004B2D2D"/>
    <w:rsid w:val="006A0EE7"/>
    <w:rsid w:val="007107E9"/>
    <w:rsid w:val="00723C55"/>
    <w:rsid w:val="00831459"/>
    <w:rsid w:val="00857898"/>
    <w:rsid w:val="0097362A"/>
    <w:rsid w:val="00AC3195"/>
    <w:rsid w:val="00AD6B12"/>
    <w:rsid w:val="00C05B63"/>
    <w:rsid w:val="00DE6AC3"/>
    <w:rsid w:val="00EC232A"/>
    <w:rsid w:val="00EC3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B54F"/>
  <w15:chartTrackingRefBased/>
  <w15:docId w15:val="{A9E10254-221F-45A9-88C3-9D76E28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2A"/>
    <w:pPr>
      <w:ind w:left="720"/>
      <w:contextualSpacing/>
    </w:pPr>
  </w:style>
  <w:style w:type="paragraph" w:styleId="Header">
    <w:name w:val="header"/>
    <w:basedOn w:val="Normal"/>
    <w:link w:val="HeaderChar"/>
    <w:uiPriority w:val="99"/>
    <w:unhideWhenUsed/>
    <w:rsid w:val="00973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2A"/>
  </w:style>
  <w:style w:type="paragraph" w:styleId="Footer">
    <w:name w:val="footer"/>
    <w:basedOn w:val="Normal"/>
    <w:link w:val="FooterChar"/>
    <w:uiPriority w:val="99"/>
    <w:unhideWhenUsed/>
    <w:rsid w:val="00973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2A"/>
  </w:style>
  <w:style w:type="character" w:styleId="Hyperlink">
    <w:name w:val="Hyperlink"/>
    <w:basedOn w:val="DefaultParagraphFont"/>
    <w:uiPriority w:val="99"/>
    <w:unhideWhenUsed/>
    <w:rsid w:val="004A6234"/>
    <w:rPr>
      <w:color w:val="0563C1" w:themeColor="hyperlink"/>
      <w:u w:val="single"/>
    </w:rPr>
  </w:style>
  <w:style w:type="character" w:styleId="UnresolvedMention">
    <w:name w:val="Unresolved Mention"/>
    <w:basedOn w:val="DefaultParagraphFont"/>
    <w:uiPriority w:val="99"/>
    <w:semiHidden/>
    <w:unhideWhenUsed/>
    <w:rsid w:val="004A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scot/media/3bjpr3wa/realisingtheambi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yscotland.org/" TargetMode="External"/><Relationship Id="rId5" Type="http://schemas.openxmlformats.org/officeDocument/2006/relationships/footnotes" Target="footnotes.xml"/><Relationship Id="rId10" Type="http://schemas.openxmlformats.org/officeDocument/2006/relationships/hyperlink" Target="https://www.playscotland.org/wp-content/uploads/Out-to-Play_practical-guidance-for-creating-outdoor-play-experiences-in-early-learning-and-childcare.pdf" TargetMode="External"/><Relationship Id="rId4" Type="http://schemas.openxmlformats.org/officeDocument/2006/relationships/webSettings" Target="webSettings.xml"/><Relationship Id="rId9" Type="http://schemas.openxmlformats.org/officeDocument/2006/relationships/hyperlink" Target="https://hub.careinspectorate.com/media/5092/my-active-wor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MacDougall</dc:creator>
  <cp:keywords/>
  <dc:description/>
  <cp:lastModifiedBy>Mhairi MacDougall</cp:lastModifiedBy>
  <cp:revision>8</cp:revision>
  <cp:lastPrinted>2023-01-19T09:13:00Z</cp:lastPrinted>
  <dcterms:created xsi:type="dcterms:W3CDTF">2023-01-17T17:26:00Z</dcterms:created>
  <dcterms:modified xsi:type="dcterms:W3CDTF">2026-01-12T15:26:00Z</dcterms:modified>
</cp:coreProperties>
</file>